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2"/>
        <w:ind w:left="360"/>
        <w:jc w:val="center"/>
        <w:outlineLvl w:val="0"/>
        <w:rPr>
          <w:szCs w:val="28"/>
        </w:rPr>
      </w:pPr>
      <w:r>
        <w:rPr>
          <w:szCs w:val="28"/>
        </w:rPr>
        <w:t xml:space="preserve">Структура муниципального долга</w:t>
      </w:r>
      <w:r>
        <w:rPr>
          <w:szCs w:val="28"/>
        </w:rPr>
        <w:t xml:space="preserve"> </w:t>
      </w:r>
    </w:p>
    <w:p>
      <w:pPr>
        <w:pStyle w:val="812"/>
        <w:ind w:left="360"/>
        <w:jc w:val="center"/>
        <w:outlineLvl w:val="0"/>
        <w:rPr>
          <w:szCs w:val="28"/>
        </w:rPr>
      </w:pPr>
      <w:r>
        <w:rPr>
          <w:szCs w:val="28"/>
        </w:rPr>
        <w:t xml:space="preserve">муниципального образования Колыванский район Новосибирской области</w:t>
      </w:r>
      <w:r>
        <w:rPr>
          <w:szCs w:val="28"/>
        </w:rPr>
        <w:t xml:space="preserve"> </w:t>
      </w:r>
      <w:r>
        <w:rPr>
          <w:szCs w:val="28"/>
        </w:rPr>
        <w:t xml:space="preserve">в 20</w:t>
      </w:r>
      <w:r>
        <w:rPr>
          <w:szCs w:val="28"/>
        </w:rPr>
        <w:t xml:space="preserve">23</w:t>
      </w:r>
      <w:r>
        <w:rPr>
          <w:szCs w:val="28"/>
        </w:rPr>
        <w:t xml:space="preserve"> году</w:t>
      </w:r>
      <w:r>
        <w:rPr>
          <w:szCs w:val="28"/>
        </w:rPr>
        <w:t xml:space="preserve">. </w:t>
      </w:r>
    </w:p>
    <w:p>
      <w:pPr>
        <w:pStyle w:val="812"/>
        <w:ind w:left="360"/>
        <w:jc w:val="center"/>
        <w:outlineLvl w:val="0"/>
        <w:rPr>
          <w:szCs w:val="28"/>
        </w:rPr>
      </w:pPr>
      <w:r>
        <w:rPr>
          <w:szCs w:val="28"/>
        </w:rPr>
      </w:r>
    </w:p>
    <w:p>
      <w:pPr>
        <w:pStyle w:val="812"/>
        <w:ind w:left="360"/>
        <w:jc w:val="center"/>
        <w:outlineLvl w:val="0"/>
        <w:rPr>
          <w:szCs w:val="28"/>
        </w:rPr>
      </w:pPr>
      <w:r>
        <w:rPr>
          <w:szCs w:val="28"/>
        </w:rPr>
        <w:t xml:space="preserve"> </w:t>
      </w:r>
    </w:p>
    <w:p>
      <w:pPr>
        <w:pStyle w:val="812"/>
        <w:tabs>
          <w:tab w:val="left" w:pos="7230" w:leader="none"/>
        </w:tabs>
        <w:rPr>
          <w:szCs w:val="28"/>
        </w:rPr>
      </w:pPr>
      <w:r>
        <w:rPr>
          <w:szCs w:val="28"/>
        </w:rPr>
        <w:tab/>
        <w:t xml:space="preserve">(тыс.руб.)</w:t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296"/>
        <w:gridCol w:w="1775"/>
        <w:gridCol w:w="2114"/>
        <w:gridCol w:w="2386"/>
      </w:tblGrid>
      <w:tr>
        <w:trPr/>
        <w:tc>
          <w:tcPr>
            <w:tcW w:w="3413" w:type="dxa"/>
            <w:noWrap w:val="false"/>
            <w:textDirection w:val="lrTb"/>
            <w:vAlign w:val="top"/>
          </w:tcPr>
          <w:p>
            <w:pPr>
              <w:pStyle w:val="812"/>
              <w:tabs>
                <w:tab w:val="left" w:pos="631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Форма долгового обязательства</w:t>
            </w:r>
          </w:p>
        </w:tc>
        <w:tc>
          <w:tcPr>
            <w:tcW w:w="1788" w:type="dxa"/>
            <w:noWrap w:val="false"/>
            <w:textDirection w:val="lrTb"/>
            <w:vAlign w:val="top"/>
          </w:tcPr>
          <w:p>
            <w:pPr>
              <w:pStyle w:val="812"/>
              <w:tabs>
                <w:tab w:val="left" w:pos="631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На 01.01.20</w:t>
            </w:r>
            <w:r>
              <w:rPr>
                <w:szCs w:val="28"/>
              </w:rPr>
              <w:t xml:space="preserve">23</w:t>
            </w:r>
            <w:r>
              <w:rPr>
                <w:szCs w:val="28"/>
              </w:rPr>
              <w:t xml:space="preserve">г.</w:t>
            </w:r>
          </w:p>
          <w:p>
            <w:pPr>
              <w:pStyle w:val="812"/>
              <w:tabs>
                <w:tab w:val="left" w:pos="6315" w:leader="none"/>
              </w:tabs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1904" w:type="dxa"/>
            <w:noWrap w:val="false"/>
            <w:textDirection w:val="lrTb"/>
            <w:vAlign w:val="top"/>
          </w:tcPr>
          <w:p>
            <w:pPr>
              <w:pStyle w:val="812"/>
              <w:tabs>
                <w:tab w:val="left" w:pos="6315" w:leader="none"/>
              </w:tabs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812"/>
              <w:tabs>
                <w:tab w:val="left" w:pos="631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Получение</w:t>
            </w:r>
          </w:p>
          <w:p>
            <w:pPr>
              <w:pStyle w:val="812"/>
              <w:tabs>
                <w:tab w:val="left" w:pos="631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-гашение</w:t>
            </w:r>
            <w:r>
              <w:rPr>
                <w:szCs w:val="28"/>
              </w:rPr>
            </w:r>
          </w:p>
        </w:tc>
        <w:tc>
          <w:tcPr>
            <w:tcW w:w="2466" w:type="dxa"/>
            <w:noWrap w:val="false"/>
            <w:textDirection w:val="lrTb"/>
            <w:vAlign w:val="top"/>
          </w:tcPr>
          <w:p>
            <w:pPr>
              <w:pStyle w:val="812"/>
              <w:tabs>
                <w:tab w:val="left" w:pos="631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На 01.01.20</w:t>
            </w:r>
            <w:r>
              <w:rPr>
                <w:szCs w:val="28"/>
                <w:lang w:val="en-US"/>
              </w:rPr>
              <w:t xml:space="preserve">2</w:t>
            </w:r>
            <w:r>
              <w:rPr>
                <w:szCs w:val="28"/>
              </w:rPr>
              <w:t xml:space="preserve">4г.</w:t>
            </w:r>
          </w:p>
        </w:tc>
      </w:tr>
      <w:tr>
        <w:trPr/>
        <w:tc>
          <w:tcPr>
            <w:tcW w:w="3413" w:type="dxa"/>
            <w:noWrap w:val="false"/>
            <w:textDirection w:val="lrTb"/>
            <w:vAlign w:val="top"/>
          </w:tcPr>
          <w:p>
            <w:pPr>
              <w:pStyle w:val="812"/>
              <w:tabs>
                <w:tab w:val="left" w:pos="631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Кредитные соглашения и договоры, заключенные от имени муниципального образования Колыванского района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Новосибирской области </w:t>
            </w:r>
            <w:r>
              <w:rPr>
                <w:szCs w:val="28"/>
              </w:rPr>
            </w:r>
          </w:p>
        </w:tc>
        <w:tc>
          <w:tcPr>
            <w:tcW w:w="1788" w:type="dxa"/>
            <w:noWrap w:val="false"/>
            <w:textDirection w:val="lrTb"/>
            <w:vAlign w:val="top"/>
          </w:tcPr>
          <w:p>
            <w:pPr>
              <w:pStyle w:val="812"/>
              <w:tabs>
                <w:tab w:val="left" w:pos="631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5 000,0</w:t>
            </w:r>
          </w:p>
        </w:tc>
        <w:tc>
          <w:tcPr>
            <w:tcW w:w="1904" w:type="dxa"/>
            <w:noWrap w:val="false"/>
            <w:textDirection w:val="lrTb"/>
            <w:vAlign w:val="top"/>
          </w:tcPr>
          <w:p>
            <w:pPr>
              <w:pStyle w:val="812"/>
              <w:tabs>
                <w:tab w:val="left" w:pos="6315" w:leader="none"/>
              </w:tabs>
              <w:jc w:val="center"/>
              <w:rPr>
                <w:highlight w:val="none"/>
              </w:rPr>
            </w:pPr>
            <w:r>
              <w:rPr>
                <w:szCs w:val="28"/>
              </w:rPr>
              <w:t xml:space="preserve">35000,0</w:t>
            </w:r>
            <w:r>
              <w:rPr>
                <w:szCs w:val="28"/>
              </w:rPr>
            </w:r>
          </w:p>
          <w:p>
            <w:pPr>
              <w:pStyle w:val="652"/>
              <w:numPr>
                <w:numId w:val="1"/>
                <w:ilvl w:val="0"/>
              </w:numPr>
              <w:tabs>
                <w:tab w:val="left" w:pos="6315" w:leader="none"/>
              </w:tabs>
              <w:jc w:val="center"/>
            </w:pPr>
            <w:r>
              <w:rPr>
                <w:szCs w:val="28"/>
                <w:highlight w:val="none"/>
              </w:rPr>
              <w:t xml:space="preserve">15000,0</w:t>
            </w:r>
            <w:r>
              <w:rPr>
                <w:szCs w:val="28"/>
                <w:highlight w:val="none"/>
              </w:rPr>
            </w:r>
          </w:p>
        </w:tc>
        <w:tc>
          <w:tcPr>
            <w:tcW w:w="2466" w:type="dxa"/>
            <w:noWrap w:val="false"/>
            <w:textDirection w:val="lrTb"/>
            <w:vAlign w:val="top"/>
          </w:tcPr>
          <w:p>
            <w:pPr>
              <w:pStyle w:val="812"/>
              <w:tabs>
                <w:tab w:val="left" w:pos="631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25000,0</w:t>
            </w:r>
          </w:p>
        </w:tc>
      </w:tr>
      <w:tr>
        <w:trPr/>
        <w:tc>
          <w:tcPr>
            <w:tcW w:w="3413" w:type="dxa"/>
            <w:noWrap w:val="false"/>
            <w:textDirection w:val="lrTb"/>
            <w:vAlign w:val="top"/>
          </w:tcPr>
          <w:p>
            <w:pPr>
              <w:pStyle w:val="812"/>
              <w:tabs>
                <w:tab w:val="left" w:pos="6315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Итого</w:t>
            </w:r>
            <w:r>
              <w:rPr>
                <w:szCs w:val="28"/>
              </w:rPr>
            </w:r>
          </w:p>
        </w:tc>
        <w:tc>
          <w:tcPr>
            <w:tcW w:w="1788" w:type="dxa"/>
            <w:noWrap w:val="false"/>
            <w:textDirection w:val="lrTb"/>
            <w:vAlign w:val="top"/>
          </w:tcPr>
          <w:p>
            <w:pPr>
              <w:pStyle w:val="812"/>
              <w:tabs>
                <w:tab w:val="left" w:pos="631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5 000,0</w:t>
            </w:r>
          </w:p>
        </w:tc>
        <w:tc>
          <w:tcPr>
            <w:tcW w:w="1904" w:type="dxa"/>
            <w:noWrap w:val="false"/>
            <w:textDirection w:val="lrTb"/>
            <w:vAlign w:val="top"/>
          </w:tcPr>
          <w:p>
            <w:pPr>
              <w:pStyle w:val="812"/>
              <w:tabs>
                <w:tab w:val="left" w:pos="631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20 000,0</w:t>
            </w:r>
          </w:p>
        </w:tc>
        <w:tc>
          <w:tcPr>
            <w:tcW w:w="2466" w:type="dxa"/>
            <w:noWrap w:val="false"/>
            <w:textDirection w:val="lrTb"/>
            <w:vAlign w:val="top"/>
          </w:tcPr>
          <w:p>
            <w:pPr>
              <w:pStyle w:val="812"/>
              <w:tabs>
                <w:tab w:val="left" w:pos="6315" w:leader="none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25 000,0</w:t>
            </w:r>
          </w:p>
        </w:tc>
      </w:tr>
    </w:tbl>
    <w:p>
      <w:pPr>
        <w:pStyle w:val="812"/>
        <w:tabs>
          <w:tab w:val="left" w:pos="6315" w:leader="none"/>
        </w:tabs>
        <w:rPr>
          <w:szCs w:val="28"/>
        </w:rPr>
      </w:pPr>
      <w:r>
        <w:rPr>
          <w:szCs w:val="28"/>
        </w:rPr>
        <w:t xml:space="preserve">  </w:t>
        <w:tab/>
      </w:r>
    </w:p>
    <w:p>
      <w:pPr>
        <w:pStyle w:val="812"/>
        <w:ind w:left="5316" w:firstLine="348"/>
        <w:rPr>
          <w:szCs w:val="28"/>
        </w:rPr>
      </w:pPr>
      <w:r>
        <w:rPr>
          <w:szCs w:val="28"/>
        </w:rPr>
      </w:r>
    </w:p>
    <w:p>
      <w:pPr>
        <w:pStyle w:val="812"/>
        <w:ind w:left="4956" w:firstLine="708"/>
        <w:jc w:val="both"/>
        <w:rPr>
          <w:b/>
          <w:sz w:val="20"/>
        </w:rPr>
      </w:pPr>
      <w:r>
        <w:rPr>
          <w:sz w:val="20"/>
        </w:rPr>
        <w:t xml:space="preserve"> </w:t>
      </w:r>
      <w:r>
        <w:rPr>
          <w:b/>
          <w:sz w:val="20"/>
        </w:rPr>
      </w:r>
    </w:p>
    <w:p>
      <w:pPr>
        <w:pStyle w:val="812"/>
      </w:pPr>
      <w:r>
        <w:t xml:space="preserve">Глав</w:t>
      </w:r>
      <w:r>
        <w:t xml:space="preserve">а</w:t>
      </w:r>
      <w:r>
        <w:t xml:space="preserve"> Колыванского района </w:t>
      </w:r>
    </w:p>
    <w:p>
      <w:pPr>
        <w:pStyle w:val="812"/>
      </w:pPr>
      <w:r>
        <w:t xml:space="preserve">Новосибирской области                                                               </w:t>
      </w:r>
      <w:r>
        <w:t xml:space="preserve">Артюхов Е.Г.</w:t>
      </w:r>
    </w:p>
    <w:p>
      <w:pPr>
        <w:pStyle w:val="812"/>
      </w:pPr>
    </w:p>
    <w:p>
      <w:pPr>
        <w:pStyle w:val="812"/>
      </w:pPr>
      <w:r>
        <w:t xml:space="preserve">Главный бухгалтер                                   </w:t>
      </w:r>
      <w:r>
        <w:t xml:space="preserve">                            </w:t>
      </w:r>
      <w:r>
        <w:t xml:space="preserve">     </w:t>
      </w:r>
      <w:r>
        <w:t xml:space="preserve">Михальченко Е.А.</w:t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2"/>
    <w:next w:val="812"/>
    <w:link w:val="635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2"/>
    <w:next w:val="812"/>
    <w:link w:val="63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2"/>
    <w:next w:val="812"/>
    <w:link w:val="639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2"/>
    <w:next w:val="812"/>
    <w:link w:val="64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2"/>
    <w:next w:val="812"/>
    <w:link w:val="64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2"/>
    <w:next w:val="812"/>
    <w:link w:val="64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2"/>
    <w:next w:val="812"/>
    <w:link w:val="64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2"/>
    <w:next w:val="812"/>
    <w:link w:val="649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2"/>
    <w:next w:val="812"/>
    <w:link w:val="651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2"/>
    <w:uiPriority w:val="34"/>
    <w:qFormat/>
    <w:pPr>
      <w:ind w:left="720"/>
      <w:contextualSpacing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2"/>
    <w:next w:val="812"/>
    <w:link w:val="65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55">
    <w:name w:val="Title Char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63">
    <w:name w:val="Header Char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65">
    <w:name w:val="Footer Char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0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0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0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0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0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0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1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spacing w:after="57"/>
      <w:ind w:left="0" w:right="0" w:firstLine="0"/>
    </w:pPr>
  </w:style>
  <w:style w:type="paragraph" w:styleId="802">
    <w:name w:val="toc 2"/>
    <w:basedOn w:val="812"/>
    <w:next w:val="812"/>
    <w:uiPriority w:val="39"/>
    <w:unhideWhenUsed/>
    <w:pPr>
      <w:spacing w:after="57"/>
      <w:ind w:left="283" w:right="0" w:firstLine="0"/>
    </w:pPr>
  </w:style>
  <w:style w:type="paragraph" w:styleId="803">
    <w:name w:val="toc 3"/>
    <w:basedOn w:val="812"/>
    <w:next w:val="812"/>
    <w:uiPriority w:val="39"/>
    <w:unhideWhenUsed/>
    <w:pPr>
      <w:spacing w:after="57"/>
      <w:ind w:left="567" w:right="0" w:firstLine="0"/>
    </w:pPr>
  </w:style>
  <w:style w:type="paragraph" w:styleId="804">
    <w:name w:val="toc 4"/>
    <w:basedOn w:val="812"/>
    <w:next w:val="812"/>
    <w:uiPriority w:val="39"/>
    <w:unhideWhenUsed/>
    <w:pPr>
      <w:spacing w:after="57"/>
      <w:ind w:left="850" w:right="0" w:firstLine="0"/>
    </w:pPr>
  </w:style>
  <w:style w:type="paragraph" w:styleId="805">
    <w:name w:val="toc 5"/>
    <w:basedOn w:val="812"/>
    <w:next w:val="812"/>
    <w:uiPriority w:val="39"/>
    <w:unhideWhenUsed/>
    <w:pPr>
      <w:spacing w:after="57"/>
      <w:ind w:left="1134" w:right="0" w:firstLine="0"/>
    </w:pPr>
  </w:style>
  <w:style w:type="paragraph" w:styleId="806">
    <w:name w:val="toc 6"/>
    <w:basedOn w:val="812"/>
    <w:next w:val="812"/>
    <w:uiPriority w:val="39"/>
    <w:unhideWhenUsed/>
    <w:pPr>
      <w:spacing w:after="57"/>
      <w:ind w:left="1417" w:right="0" w:firstLine="0"/>
    </w:pPr>
  </w:style>
  <w:style w:type="paragraph" w:styleId="807">
    <w:name w:val="toc 7"/>
    <w:basedOn w:val="812"/>
    <w:next w:val="812"/>
    <w:uiPriority w:val="39"/>
    <w:unhideWhenUsed/>
    <w:pPr>
      <w:spacing w:after="57"/>
      <w:ind w:left="1701" w:right="0" w:firstLine="0"/>
    </w:pPr>
  </w:style>
  <w:style w:type="paragraph" w:styleId="808">
    <w:name w:val="toc 8"/>
    <w:basedOn w:val="812"/>
    <w:next w:val="812"/>
    <w:uiPriority w:val="39"/>
    <w:unhideWhenUsed/>
    <w:pPr>
      <w:spacing w:after="57"/>
      <w:ind w:left="1984" w:right="0" w:firstLine="0"/>
    </w:pPr>
  </w:style>
  <w:style w:type="paragraph" w:styleId="809">
    <w:name w:val="toc 9"/>
    <w:basedOn w:val="812"/>
    <w:next w:val="812"/>
    <w:uiPriority w:val="39"/>
    <w:unhideWhenUsed/>
    <w:pPr>
      <w:spacing w:after="57"/>
      <w:ind w:left="2268" w:right="0" w:firstLine="0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next w:val="812"/>
    <w:link w:val="812"/>
    <w:qFormat/>
    <w:rPr>
      <w:sz w:val="28"/>
      <w:szCs w:val="24"/>
      <w:lang w:val="ru-RU" w:eastAsia="ru-RU" w:bidi="ar-SA"/>
    </w:rPr>
  </w:style>
  <w:style w:type="character" w:styleId="813">
    <w:name w:val="Основной шрифт абзаца"/>
    <w:next w:val="813"/>
    <w:link w:val="812"/>
    <w:semiHidden/>
  </w:style>
  <w:style w:type="table" w:styleId="814">
    <w:name w:val="Обычная таблица"/>
    <w:next w:val="814"/>
    <w:link w:val="812"/>
    <w:semiHidden/>
    <w:tblPr/>
  </w:style>
  <w:style w:type="numbering" w:styleId="815">
    <w:name w:val="Нет списка"/>
    <w:next w:val="815"/>
    <w:link w:val="812"/>
    <w:semiHidden/>
  </w:style>
  <w:style w:type="character" w:styleId="816" w:default="1">
    <w:name w:val="Default Paragraph Font"/>
    <w:uiPriority w:val="1"/>
    <w:semiHidden/>
    <w:unhideWhenUsed/>
  </w:style>
  <w:style w:type="numbering" w:styleId="817" w:default="1">
    <w:name w:val="No List"/>
    <w:uiPriority w:val="99"/>
    <w:semiHidden/>
    <w:unhideWhenUsed/>
  </w:style>
  <w:style w:type="table" w:styleId="81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муниципального долга</dc:title>
  <dc:creator>kibal_gv</dc:creator>
  <cp:revision>5</cp:revision>
  <dcterms:created xsi:type="dcterms:W3CDTF">2022-03-29T11:25:00Z</dcterms:created>
  <dcterms:modified xsi:type="dcterms:W3CDTF">2024-03-20T09:20:22Z</dcterms:modified>
  <cp:version>1048576</cp:version>
</cp:coreProperties>
</file>